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ED58" w14:textId="77777777" w:rsidR="001C1E3D" w:rsidRDefault="001C1E3D" w:rsidP="009D1172">
      <w:pPr>
        <w:jc w:val="center"/>
      </w:pPr>
    </w:p>
    <w:p w14:paraId="7D218D49" w14:textId="743D3FF1"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438955FF"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1C1E3D">
        <w:t>SITE-CAST TILT-UP CONCRETE</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13415E14"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745FD0" w:rsidRPr="001340F0">
        <w:t>lightweight</w:t>
      </w:r>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695473">
        <w:t xml:space="preserve">cured </w:t>
      </w:r>
      <w:r w:rsidR="000D14BF">
        <w:t>site-</w:t>
      </w:r>
      <w:r w:rsidR="00695473">
        <w:t xml:space="preserve">cast </w:t>
      </w:r>
      <w:r w:rsidR="000D14BF">
        <w:t xml:space="preserve">tilt-up </w:t>
      </w:r>
      <w:r w:rsidR="00695473">
        <w:t>concrete</w:t>
      </w:r>
      <w:r w:rsidR="00B61188">
        <w:t xml:space="preserve"> </w:t>
      </w:r>
      <w:r w:rsidR="00CE0598">
        <w:t>surfaces</w:t>
      </w:r>
      <w:r w:rsidR="00AE39A1" w:rsidRPr="001340F0">
        <w:t xml:space="preserve">. </w:t>
      </w:r>
      <w:r w:rsidR="00CE4818" w:rsidRPr="001340F0">
        <w:t>Plaster assembly consists of one base layer of plaster</w:t>
      </w:r>
      <w:r w:rsidR="004256AB">
        <w:t xml:space="preserve"> </w:t>
      </w:r>
      <w:r w:rsidR="004256AB" w:rsidRPr="001340F0">
        <w:t xml:space="preserve">in a fine or coarse grain </w:t>
      </w:r>
      <w:r w:rsidR="00CE4818" w:rsidRPr="001340F0">
        <w:t xml:space="preserve">producing a level and smooth surface plane and a finish layer of plaster </w:t>
      </w:r>
      <w:r w:rsidR="00CF62AE" w:rsidRPr="001340F0">
        <w:t xml:space="preserve">in a fine or coarse grain </w:t>
      </w:r>
      <w:r w:rsidR="00CE4818" w:rsidRPr="001340F0">
        <w:t>with or without color,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70028269" w14:textId="77777777" w:rsidR="00EE4339" w:rsidRPr="001340F0" w:rsidRDefault="00EE4339" w:rsidP="00EE4339">
      <w:pPr>
        <w:pStyle w:val="N-4"/>
        <w:tabs>
          <w:tab w:val="clear" w:pos="835"/>
          <w:tab w:val="num" w:pos="1080"/>
        </w:tabs>
        <w:spacing w:before="120"/>
        <w:ind w:left="1080" w:hanging="360"/>
      </w:pPr>
      <w:r w:rsidRPr="001340F0">
        <w:t>Section 03 30 00 – Cast-in-Place Concrete</w:t>
      </w:r>
    </w:p>
    <w:p w14:paraId="2B51EB1C" w14:textId="77777777" w:rsidR="00EE4339" w:rsidRPr="001340F0" w:rsidRDefault="00EE4339" w:rsidP="00EE4339">
      <w:pPr>
        <w:pStyle w:val="N-4"/>
        <w:tabs>
          <w:tab w:val="clear" w:pos="835"/>
          <w:tab w:val="num" w:pos="1080"/>
        </w:tabs>
        <w:spacing w:before="120"/>
        <w:ind w:left="1080" w:hanging="360"/>
      </w:pPr>
      <w:r w:rsidRPr="001340F0">
        <w:t>Section 03 31 00 – Structural Concrete</w:t>
      </w:r>
    </w:p>
    <w:p w14:paraId="00B5597B" w14:textId="77777777" w:rsidR="00EE4339" w:rsidRPr="001340F0" w:rsidRDefault="00EE4339" w:rsidP="00EE4339">
      <w:pPr>
        <w:pStyle w:val="N-4"/>
        <w:tabs>
          <w:tab w:val="clear" w:pos="835"/>
          <w:tab w:val="num" w:pos="1080"/>
        </w:tabs>
        <w:spacing w:before="120"/>
        <w:ind w:left="1080" w:hanging="360"/>
      </w:pPr>
      <w:r w:rsidRPr="001340F0">
        <w:t>Section 03 33 00 – Architectural Concrete</w:t>
      </w:r>
    </w:p>
    <w:p w14:paraId="48368206" w14:textId="77777777" w:rsidR="00EE4339" w:rsidRDefault="00EE4339" w:rsidP="00EE4339">
      <w:pPr>
        <w:pStyle w:val="N-4"/>
        <w:tabs>
          <w:tab w:val="clear" w:pos="835"/>
          <w:tab w:val="num" w:pos="1080"/>
        </w:tabs>
        <w:spacing w:before="120"/>
        <w:ind w:left="1080" w:hanging="360"/>
      </w:pPr>
      <w:r w:rsidRPr="001340F0">
        <w:t>Section 03 40 00 – Precast Concrete</w:t>
      </w:r>
    </w:p>
    <w:p w14:paraId="1917EDCA" w14:textId="590E2900" w:rsidR="000D14BF" w:rsidRPr="001340F0" w:rsidRDefault="000D14BF" w:rsidP="00EE4339">
      <w:pPr>
        <w:pStyle w:val="N-4"/>
        <w:tabs>
          <w:tab w:val="clear" w:pos="835"/>
          <w:tab w:val="num" w:pos="1080"/>
        </w:tabs>
        <w:spacing w:before="120"/>
        <w:ind w:left="1080" w:hanging="360"/>
      </w:pPr>
      <w:r>
        <w:t>Section 03 40 70 – Site-Cast Tilt-Up Concrete</w:t>
      </w:r>
    </w:p>
    <w:p w14:paraId="6E26FED0" w14:textId="77777777" w:rsidR="00EE4339" w:rsidRPr="001340F0" w:rsidRDefault="00EE4339" w:rsidP="00EE4339">
      <w:pPr>
        <w:pStyle w:val="N-4"/>
        <w:tabs>
          <w:tab w:val="clear" w:pos="835"/>
          <w:tab w:val="num" w:pos="1080"/>
        </w:tabs>
        <w:spacing w:before="120"/>
        <w:ind w:left="1080" w:hanging="360"/>
      </w:pPr>
      <w:r w:rsidRPr="001340F0">
        <w:t>Section 03 49 00 – Glass-Fiber-Reinforced Concrete</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lastRenderedPageBreak/>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6DEA2D85"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076D60" w:rsidRPr="001340F0">
        <w:t>two</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4BB70DD8" w:rsidR="005F6888" w:rsidRPr="001340F0" w:rsidRDefault="00957309" w:rsidP="005F6888">
      <w:pPr>
        <w:pStyle w:val="N-5"/>
        <w:tabs>
          <w:tab w:val="clear" w:pos="893"/>
          <w:tab w:val="num" w:pos="1350"/>
        </w:tabs>
        <w:spacing w:before="120"/>
        <w:ind w:left="1350" w:hanging="288"/>
      </w:pPr>
      <w:r>
        <w:t>Depending on smooth or coarse grain size, a 1/</w:t>
      </w:r>
      <w:r w:rsidR="00782C50">
        <w:t>8</w:t>
      </w:r>
      <w:r>
        <w:t>-inch fine-grain or 1/</w:t>
      </w:r>
      <w:r w:rsidR="00782C50">
        <w:t>4</w:t>
      </w:r>
      <w:r>
        <w:t>-inch coarse-grain plaster applied as the first layer in a leveled surface plane finish (base coat).</w:t>
      </w:r>
    </w:p>
    <w:p w14:paraId="7D218D71" w14:textId="343DEEC1" w:rsidR="00994013" w:rsidRPr="001340F0" w:rsidRDefault="00CE4818" w:rsidP="005F6888">
      <w:pPr>
        <w:pStyle w:val="N-5"/>
        <w:tabs>
          <w:tab w:val="clear" w:pos="893"/>
          <w:tab w:val="num" w:pos="1350"/>
        </w:tabs>
        <w:spacing w:before="120"/>
        <w:ind w:left="1350" w:hanging="288"/>
      </w:pPr>
      <w:r w:rsidRPr="001340F0">
        <w:t>A minimum 1/</w:t>
      </w:r>
      <w:r w:rsidR="00782C50">
        <w:t>8</w:t>
      </w:r>
      <w:r w:rsidRPr="001340F0">
        <w:t>-inch top l</w:t>
      </w:r>
      <w:r w:rsidR="0079688B" w:rsidRPr="001340F0">
        <w:t>ayer of a coarse or fine-grain</w:t>
      </w:r>
      <w:r w:rsidRPr="001340F0">
        <w:t xml:space="preserve"> plaster layer with or without integral color finished to match surrounding surface texture or as directed by the Architect (finish coat)</w:t>
      </w:r>
      <w:r w:rsidR="00C87BD9" w:rsidRPr="001340F0">
        <w:t>.</w:t>
      </w:r>
    </w:p>
    <w:p w14:paraId="7D218D72" w14:textId="1F17DC86" w:rsidR="00A94AC8" w:rsidRPr="001340F0" w:rsidRDefault="003C4EB9" w:rsidP="00994013">
      <w:pPr>
        <w:pStyle w:val="N-5"/>
        <w:tabs>
          <w:tab w:val="clear" w:pos="893"/>
          <w:tab w:val="num" w:pos="1350"/>
        </w:tabs>
        <w:spacing w:before="120"/>
        <w:ind w:left="1350" w:hanging="288"/>
      </w:pPr>
      <w:r w:rsidRPr="001340F0">
        <w:t xml:space="preserve">Total </w:t>
      </w:r>
      <w:r w:rsidR="00994013" w:rsidRPr="001340F0">
        <w:t xml:space="preserve">overall </w:t>
      </w:r>
      <w:r w:rsidR="002F78F0" w:rsidRPr="001340F0">
        <w:t>plaster</w:t>
      </w:r>
      <w:r w:rsidR="007657FD" w:rsidRPr="001340F0">
        <w:t xml:space="preserve"> </w:t>
      </w:r>
      <w:r w:rsidR="00994013" w:rsidRPr="001340F0">
        <w:t xml:space="preserve">system </w:t>
      </w:r>
      <w:r w:rsidR="007657FD" w:rsidRPr="001340F0">
        <w:t xml:space="preserve">thickness will be </w:t>
      </w:r>
      <w:r w:rsidR="00A0391B" w:rsidRPr="001340F0">
        <w:t xml:space="preserve">minimum </w:t>
      </w:r>
      <w:r w:rsidR="00092733">
        <w:t>1/</w:t>
      </w:r>
      <w:r w:rsidR="00782C50">
        <w:t>4</w:t>
      </w:r>
      <w:r w:rsidR="00E119E5">
        <w:t>-inch</w:t>
      </w:r>
      <w:r w:rsidR="00092733">
        <w:t xml:space="preserve"> to </w:t>
      </w:r>
      <w:r w:rsidR="00782C50">
        <w:t>1/2</w:t>
      </w:r>
      <w:r w:rsidR="00E119E5">
        <w:t>-</w:t>
      </w:r>
      <w:r w:rsidR="007657FD" w:rsidRPr="001340F0">
        <w:t>inch</w:t>
      </w:r>
      <w:r w:rsidR="00092733">
        <w:t xml:space="preserve"> depending on </w:t>
      </w:r>
      <w:r w:rsidR="00782C50">
        <w:t>desired texture.</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lastRenderedPageBreak/>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21C1A479" w:rsidR="00724C69" w:rsidRPr="001340F0" w:rsidRDefault="00745FD0" w:rsidP="004153BB">
      <w:pPr>
        <w:pStyle w:val="N-3"/>
        <w:tabs>
          <w:tab w:val="num" w:pos="720"/>
          <w:tab w:val="num" w:pos="1548"/>
        </w:tabs>
        <w:ind w:left="720"/>
      </w:pPr>
      <w:r w:rsidRPr="001340F0">
        <w:t>Mockups</w:t>
      </w:r>
      <w:r w:rsidR="00724C69" w:rsidRPr="001340F0">
        <w:t xml:space="preserve">: </w:t>
      </w:r>
    </w:p>
    <w:p w14:paraId="7D218D81" w14:textId="5F4593E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745FD0"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3DA3ECF6" w:rsidR="00724C69" w:rsidRPr="001340F0" w:rsidRDefault="00724C69" w:rsidP="00724C69">
      <w:pPr>
        <w:pStyle w:val="N-4"/>
        <w:tabs>
          <w:tab w:val="clear" w:pos="835"/>
          <w:tab w:val="num" w:pos="1080"/>
        </w:tabs>
        <w:spacing w:before="120"/>
        <w:ind w:left="1080" w:hanging="360"/>
      </w:pPr>
      <w:r w:rsidRPr="001340F0">
        <w:t xml:space="preserve">Build </w:t>
      </w:r>
      <w:r w:rsidR="00745FD0" w:rsidRPr="001340F0">
        <w:t>mockups</w:t>
      </w:r>
      <w:r w:rsidRPr="001340F0">
        <w:t xml:space="preserve"> to comply with the following requirements using materials indicated for final unit of work.  </w:t>
      </w:r>
    </w:p>
    <w:p w14:paraId="7D218D83" w14:textId="5DE516EA" w:rsidR="00724C69" w:rsidRPr="001340F0" w:rsidRDefault="00724C69" w:rsidP="00724C69">
      <w:pPr>
        <w:pStyle w:val="N-4"/>
        <w:tabs>
          <w:tab w:val="clear" w:pos="835"/>
          <w:tab w:val="num" w:pos="1080"/>
        </w:tabs>
        <w:spacing w:before="120"/>
        <w:ind w:left="1080" w:hanging="360"/>
      </w:pPr>
      <w:r w:rsidRPr="001340F0">
        <w:t xml:space="preserve">Locate </w:t>
      </w:r>
      <w:r w:rsidR="00745FD0"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5D8FF171"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745FD0" w:rsidRPr="001340F0">
        <w:t>mockups</w:t>
      </w:r>
      <w:r w:rsidRPr="001340F0">
        <w:t xml:space="preserve"> before start of final unit of work.</w:t>
      </w:r>
    </w:p>
    <w:p w14:paraId="7D218D86" w14:textId="6B6DF451" w:rsidR="00724C69" w:rsidRPr="001340F0" w:rsidRDefault="00724C69" w:rsidP="00724C69">
      <w:pPr>
        <w:pStyle w:val="N-4"/>
        <w:tabs>
          <w:tab w:val="clear" w:pos="835"/>
          <w:tab w:val="num" w:pos="1080"/>
        </w:tabs>
        <w:spacing w:before="120"/>
        <w:ind w:left="1080" w:hanging="360"/>
      </w:pPr>
      <w:r w:rsidRPr="001340F0">
        <w:t xml:space="preserve">Retain and maintain </w:t>
      </w:r>
      <w:r w:rsidR="00745FD0"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6B3C18C" w:rsidR="00571AC8" w:rsidRPr="001340F0" w:rsidRDefault="00724C69" w:rsidP="00724C69">
      <w:pPr>
        <w:pStyle w:val="N-4"/>
        <w:tabs>
          <w:tab w:val="clear" w:pos="835"/>
          <w:tab w:val="left" w:pos="990"/>
          <w:tab w:val="num" w:pos="3895"/>
        </w:tabs>
        <w:spacing w:before="120" w:after="120"/>
        <w:ind w:left="990"/>
      </w:pPr>
      <w:r w:rsidRPr="001340F0">
        <w:t>Maintain a daily record of the weather conditions, of material ordered and delivered, material used, inspections, areas of work that began, areas of work that were completed, and questions raised</w:t>
      </w:r>
      <w:r w:rsidR="003E46D2">
        <w:t>,</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69699CE6"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124B8904" w:rsidR="00724C69" w:rsidRPr="001340F0" w:rsidRDefault="00325F23" w:rsidP="00724C69">
      <w:pPr>
        <w:pStyle w:val="N-4"/>
        <w:tabs>
          <w:tab w:val="clear" w:pos="835"/>
          <w:tab w:val="num" w:pos="1080"/>
        </w:tabs>
        <w:spacing w:before="120"/>
        <w:ind w:left="1080" w:hanging="360"/>
      </w:pPr>
      <w:r w:rsidRPr="007A7F25">
        <w:lastRenderedPageBreak/>
        <w:t>Equivalent products by listed</w:t>
      </w:r>
      <w:r>
        <w:t xml:space="preserve"> manufacturers are acceptable with </w:t>
      </w:r>
      <w:r w:rsidR="001B070A">
        <w:t>the exception</w:t>
      </w:r>
      <w:r>
        <w:t xml:space="preserve">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5F80F242" w:rsidR="00896540" w:rsidRPr="001340F0" w:rsidRDefault="00E119E5" w:rsidP="008564B8">
      <w:pPr>
        <w:pStyle w:val="N-4"/>
        <w:tabs>
          <w:tab w:val="clear" w:pos="835"/>
          <w:tab w:val="num" w:pos="1080"/>
        </w:tabs>
        <w:spacing w:before="120"/>
        <w:ind w:left="1080" w:hanging="360"/>
      </w:pPr>
      <w:r w:rsidRPr="001340F0">
        <w:t xml:space="preserve">BioLime </w:t>
      </w:r>
      <w:r>
        <w:t>LLC</w:t>
      </w:r>
      <w:r w:rsidRPr="001340F0">
        <w:t xml:space="preserve">, </w:t>
      </w:r>
      <w:r>
        <w:t>5427 N State Hwy 6. Suite 7</w:t>
      </w:r>
      <w:r w:rsidRPr="001340F0">
        <w:t xml:space="preserve">, </w:t>
      </w:r>
      <w:r>
        <w:t>Waco, Texas</w:t>
      </w:r>
      <w:r w:rsidRPr="001340F0">
        <w:t xml:space="preserve">. Telephone: </w:t>
      </w:r>
      <w:r>
        <w:t>254-730-7130</w:t>
      </w:r>
      <w:r w:rsidRPr="001340F0">
        <w:t xml:space="preserve">. Fax: </w:t>
      </w:r>
      <w:r>
        <w:t>254-730-7133</w:t>
      </w:r>
      <w:r w:rsidRPr="001340F0">
        <w:t xml:space="preserve">. Email: </w:t>
      </w:r>
      <w:hyperlink r:id="rId8" w:history="1">
        <w:r w:rsidRPr="001340F0">
          <w:rPr>
            <w:rStyle w:val="Hyperlink"/>
          </w:rPr>
          <w:t>contact@biolime.com</w:t>
        </w:r>
      </w:hyperlink>
      <w:r w:rsidRPr="001340F0">
        <w:t xml:space="preserve">. Website: </w:t>
      </w:r>
      <w:hyperlink r:id="rId9" w:history="1">
        <w:r w:rsidRPr="0007690A">
          <w:rPr>
            <w:rStyle w:val="Hyperlink"/>
          </w:rPr>
          <w:t>https://biolime.com</w:t>
        </w:r>
      </w:hyperlink>
      <w:r w:rsidR="009548E8" w:rsidRPr="001340F0">
        <w:t xml:space="preserve"> </w:t>
      </w:r>
    </w:p>
    <w:p w14:paraId="7D218D9A" w14:textId="77777777" w:rsidR="00BC2BA0" w:rsidRPr="001340F0" w:rsidRDefault="00BC2BA0" w:rsidP="00BC2BA0">
      <w:pPr>
        <w:pStyle w:val="N-2"/>
      </w:pPr>
      <w:r w:rsidRPr="001340F0">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3835FFDB" w14:textId="51798B60" w:rsidR="00CF62AE" w:rsidRDefault="00CF62AE" w:rsidP="00CF62AE">
      <w:pPr>
        <w:pStyle w:val="N-4"/>
        <w:tabs>
          <w:tab w:val="clear" w:pos="835"/>
          <w:tab w:val="num" w:pos="1080"/>
        </w:tabs>
        <w:spacing w:before="120"/>
        <w:ind w:left="1080" w:hanging="360"/>
      </w:pPr>
      <w:r>
        <w:t xml:space="preserve">Premium quality </w:t>
      </w:r>
      <w:r w:rsidR="000A30AD">
        <w:t xml:space="preserve">lime, </w:t>
      </w:r>
      <w:r>
        <w:t>ground limestone</w:t>
      </w:r>
      <w:r w:rsidR="000A30AD">
        <w:t xml:space="preserve">, </w:t>
      </w:r>
      <w:r>
        <w:t xml:space="preserve">select natural pozzolans and </w:t>
      </w:r>
      <w:r w:rsidR="000A30AD">
        <w:t>biopolymers</w:t>
      </w:r>
      <w:r>
        <w:t xml:space="preserve"> in a blended composition</w:t>
      </w:r>
      <w:r w:rsidR="000A30AD">
        <w:t>.</w:t>
      </w:r>
    </w:p>
    <w:p w14:paraId="0AA5347A" w14:textId="77777777" w:rsidR="00CF62AE" w:rsidRDefault="00CF62AE" w:rsidP="00CF62AE">
      <w:pPr>
        <w:pStyle w:val="N-4"/>
        <w:tabs>
          <w:tab w:val="clear" w:pos="835"/>
          <w:tab w:val="num" w:pos="1080"/>
        </w:tabs>
        <w:spacing w:before="120"/>
        <w:ind w:left="1080" w:hanging="360"/>
      </w:pPr>
      <w:r>
        <w:t>Natural white color may be tinted with iron oxide pigments.</w:t>
      </w:r>
    </w:p>
    <w:p w14:paraId="7EDADD78" w14:textId="77777777" w:rsidR="00CF62AE" w:rsidRDefault="00CF62AE" w:rsidP="00CF62AE">
      <w:pPr>
        <w:pStyle w:val="N-4"/>
        <w:tabs>
          <w:tab w:val="clear" w:pos="835"/>
          <w:tab w:val="num" w:pos="1080"/>
        </w:tabs>
        <w:spacing w:before="120"/>
        <w:ind w:left="1080" w:hanging="360"/>
      </w:pPr>
      <w:r>
        <w:t>pH Balance: Alkaline, greater than 12 pH.</w:t>
      </w:r>
    </w:p>
    <w:p w14:paraId="2D6F4ACB" w14:textId="77777777" w:rsidR="00CF62AE" w:rsidRDefault="00CF62AE" w:rsidP="00CF62AE">
      <w:pPr>
        <w:pStyle w:val="N-4"/>
        <w:tabs>
          <w:tab w:val="clear" w:pos="835"/>
          <w:tab w:val="num" w:pos="1080"/>
        </w:tabs>
        <w:spacing w:before="120"/>
        <w:ind w:left="1080" w:hanging="360"/>
      </w:pPr>
      <w:r>
        <w:t>Density: 102 pounds per cubic foot</w:t>
      </w:r>
    </w:p>
    <w:p w14:paraId="21950D83" w14:textId="77777777" w:rsidR="00CF62AE" w:rsidRDefault="00CF62AE" w:rsidP="00CF62AE">
      <w:pPr>
        <w:pStyle w:val="N-4"/>
        <w:tabs>
          <w:tab w:val="clear" w:pos="835"/>
          <w:tab w:val="num" w:pos="1080"/>
        </w:tabs>
        <w:spacing w:before="120"/>
        <w:ind w:left="1080" w:hanging="360"/>
      </w:pPr>
      <w:r>
        <w:t>Solar Reflectance: 0.88</w:t>
      </w:r>
    </w:p>
    <w:p w14:paraId="6E34242B" w14:textId="77777777" w:rsidR="00CF62AE" w:rsidRDefault="00CF62AE" w:rsidP="00CF62AE">
      <w:pPr>
        <w:pStyle w:val="N-4"/>
        <w:tabs>
          <w:tab w:val="clear" w:pos="835"/>
          <w:tab w:val="num" w:pos="1080"/>
        </w:tabs>
        <w:spacing w:before="120"/>
        <w:ind w:left="1080" w:hanging="360"/>
      </w:pPr>
      <w:r>
        <w:t xml:space="preserve">Vapor Permeability: 122 perms at 1/16-inch layer thickness. </w:t>
      </w:r>
    </w:p>
    <w:p w14:paraId="615C6DB2" w14:textId="77777777" w:rsidR="00CF62AE" w:rsidRDefault="00CF62AE" w:rsidP="00CF62AE">
      <w:pPr>
        <w:pStyle w:val="N-4"/>
        <w:tabs>
          <w:tab w:val="clear" w:pos="835"/>
          <w:tab w:val="num" w:pos="1080"/>
        </w:tabs>
        <w:spacing w:before="120"/>
        <w:ind w:left="1080" w:hanging="360"/>
      </w:pPr>
      <w:r>
        <w:t>Fire Rating: Incombustible, Class 1A</w:t>
      </w:r>
    </w:p>
    <w:p w14:paraId="31E92B0B" w14:textId="77777777" w:rsidR="00CF62AE" w:rsidRDefault="00CF62AE" w:rsidP="00CF62AE">
      <w:pPr>
        <w:pStyle w:val="N-4"/>
        <w:tabs>
          <w:tab w:val="clear" w:pos="835"/>
          <w:tab w:val="num" w:pos="1080"/>
        </w:tabs>
        <w:spacing w:before="120"/>
        <w:ind w:left="1080" w:hanging="360"/>
      </w:pPr>
      <w:r>
        <w:t xml:space="preserve">No VOC. </w:t>
      </w:r>
    </w:p>
    <w:p w14:paraId="5925159E" w14:textId="77777777" w:rsidR="00CF62AE" w:rsidRDefault="00CF62AE" w:rsidP="00CF62AE">
      <w:pPr>
        <w:pStyle w:val="N-4"/>
        <w:tabs>
          <w:tab w:val="clear" w:pos="835"/>
          <w:tab w:val="num" w:pos="1080"/>
        </w:tabs>
        <w:spacing w:before="120"/>
        <w:ind w:left="1080" w:hanging="360"/>
      </w:pPr>
      <w:r>
        <w:t xml:space="preserve">Manufactured as sacked, ready-to-use dry aggregate; add only clean water. </w:t>
      </w:r>
    </w:p>
    <w:p w14:paraId="7D218DA2" w14:textId="612ADA9C" w:rsidR="00DF5255" w:rsidRPr="001340F0" w:rsidRDefault="00CF62AE" w:rsidP="00CF62AE">
      <w:pPr>
        <w:pStyle w:val="N-4"/>
        <w:tabs>
          <w:tab w:val="clear" w:pos="835"/>
          <w:tab w:val="left" w:pos="990"/>
          <w:tab w:val="num" w:pos="3895"/>
        </w:tabs>
        <w:spacing w:before="120" w:after="120"/>
        <w:ind w:left="990"/>
      </w:pPr>
      <w:r>
        <w:t xml:space="preserve"> </w:t>
      </w:r>
      <w:r w:rsidRPr="00CE7F21">
        <w:t>Bas</w:t>
      </w:r>
      <w:r>
        <w:t>is of Design: “BioLime Bond</w:t>
      </w:r>
      <w:r w:rsidRPr="00CE7F21">
        <w:t xml:space="preserve">”, </w:t>
      </w:r>
      <w:r>
        <w:t>BioLime</w:t>
      </w:r>
      <w:r w:rsidR="00E119E5">
        <w:t xml:space="preserve"> LLC</w:t>
      </w:r>
      <w:r>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182FD76D" w14:textId="470E5293" w:rsidR="00E2536E" w:rsidRPr="001340F0" w:rsidRDefault="00E2536E" w:rsidP="00E2536E">
      <w:pPr>
        <w:pStyle w:val="N-4"/>
        <w:tabs>
          <w:tab w:val="clear" w:pos="835"/>
          <w:tab w:val="num" w:pos="1080"/>
        </w:tabs>
        <w:spacing w:before="120"/>
        <w:ind w:left="1080" w:hanging="360"/>
      </w:pPr>
      <w:r w:rsidRPr="001340F0">
        <w:t xml:space="preserve">Premium quality </w:t>
      </w:r>
      <w:r w:rsidR="000A30AD">
        <w:t xml:space="preserve">lime, </w:t>
      </w:r>
      <w:r w:rsidRPr="001340F0">
        <w:t>ground limestone</w:t>
      </w:r>
      <w:r w:rsidR="000A30AD">
        <w:t>,</w:t>
      </w:r>
      <w:r w:rsidRPr="001340F0">
        <w:t xml:space="preserve"> select natural pozzolans and </w:t>
      </w:r>
      <w:r w:rsidR="000A30AD">
        <w:t>biopolymers</w:t>
      </w:r>
      <w:r w:rsidRPr="001340F0">
        <w:t xml:space="preserve"> in a blended composition in </w:t>
      </w:r>
      <w:r w:rsidR="00EF268C" w:rsidRPr="001340F0">
        <w:t xml:space="preserve">choice of </w:t>
      </w:r>
      <w:r w:rsidRPr="001340F0">
        <w:t>grains</w:t>
      </w:r>
      <w:r w:rsidR="00D3681E" w:rsidRPr="001340F0">
        <w:t>:</w:t>
      </w:r>
      <w:r w:rsidRPr="001340F0">
        <w:t xml:space="preserve"> from </w:t>
      </w:r>
      <w:r w:rsidR="005139CF" w:rsidRPr="001340F0">
        <w:t>0 to 1 mm (F</w:t>
      </w:r>
      <w:r w:rsidR="00C363B3" w:rsidRPr="001340F0">
        <w:t xml:space="preserve">ine) or </w:t>
      </w:r>
      <w:r w:rsidRPr="001340F0">
        <w:t xml:space="preserve">0 to </w:t>
      </w:r>
      <w:r w:rsidR="000A30AD">
        <w:t>0.3</w:t>
      </w:r>
      <w:r w:rsidRPr="001340F0">
        <w:t xml:space="preserve"> mm</w:t>
      </w:r>
      <w:r w:rsidR="005139CF" w:rsidRPr="001340F0">
        <w:t xml:space="preserve"> (</w:t>
      </w:r>
      <w:r w:rsidR="000A30AD">
        <w:t>ExtraFine</w:t>
      </w:r>
      <w:r w:rsidR="005139CF" w:rsidRPr="001340F0">
        <w:t>)</w:t>
      </w:r>
      <w:r w:rsidRPr="001340F0">
        <w:t>.</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240A8290" w:rsidR="00E2536E" w:rsidRPr="001340F0" w:rsidRDefault="00E2536E" w:rsidP="00E2536E">
      <w:pPr>
        <w:pStyle w:val="N-4"/>
        <w:tabs>
          <w:tab w:val="clear" w:pos="835"/>
          <w:tab w:val="num" w:pos="1080"/>
        </w:tabs>
        <w:spacing w:before="120"/>
        <w:ind w:left="1080" w:hanging="360"/>
      </w:pPr>
      <w:r w:rsidRPr="001340F0">
        <w:t>Basis of Design: “BioLime Finish”, BioLime</w:t>
      </w:r>
      <w:r w:rsidR="00E119E5">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lastRenderedPageBreak/>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Appearance-</w:t>
      </w:r>
      <w:r w:rsidR="007B4081" w:rsidRPr="001340F0">
        <w:lastRenderedPageBreak/>
        <w:t xml:space="preserv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70C15E91" w14:textId="77777777" w:rsidR="00914055" w:rsidRPr="001340F0" w:rsidRDefault="00914055" w:rsidP="00914055">
      <w:pPr>
        <w:pStyle w:val="N-4"/>
        <w:tabs>
          <w:tab w:val="clear" w:pos="835"/>
          <w:tab w:val="left" w:pos="1080"/>
          <w:tab w:val="num" w:pos="3715"/>
          <w:tab w:val="num" w:pos="3805"/>
        </w:tabs>
        <w:spacing w:before="120"/>
        <w:ind w:left="1080" w:hanging="360"/>
      </w:pPr>
      <w:r w:rsidRPr="001340F0">
        <w:t>Surface Hydration:</w:t>
      </w:r>
    </w:p>
    <w:p w14:paraId="19339B5F" w14:textId="3C35A32A" w:rsidR="007D13B7" w:rsidRPr="001340F0" w:rsidRDefault="007D13B7" w:rsidP="00914055">
      <w:pPr>
        <w:pStyle w:val="N-5"/>
        <w:tabs>
          <w:tab w:val="clear" w:pos="893"/>
          <w:tab w:val="num" w:pos="1350"/>
        </w:tabs>
        <w:spacing w:before="120"/>
        <w:ind w:left="1350" w:hanging="288"/>
      </w:pPr>
      <w:r w:rsidRPr="001340F0">
        <w:t>Do not prewet non-absorbent surfaces.</w:t>
      </w:r>
    </w:p>
    <w:p w14:paraId="31668FC1" w14:textId="6EDFC9AE" w:rsidR="007D13B7" w:rsidRPr="001340F0" w:rsidRDefault="004F2FC3" w:rsidP="00914055">
      <w:pPr>
        <w:pStyle w:val="N-5"/>
        <w:tabs>
          <w:tab w:val="clear" w:pos="893"/>
          <w:tab w:val="num" w:pos="1350"/>
        </w:tabs>
        <w:spacing w:before="120"/>
        <w:ind w:left="1350" w:hanging="288"/>
      </w:pPr>
      <w:r w:rsidRPr="001340F0">
        <w:t>Dampen mineral-based surfaces relative to their absorbency—highly absorbent surfaces require more hydration. Once water is absorbed from the surface, application may begin.</w:t>
      </w:r>
    </w:p>
    <w:p w14:paraId="2F26919E" w14:textId="18C9DB9E" w:rsidR="0009617C" w:rsidRPr="001340F0" w:rsidRDefault="00957309" w:rsidP="00095238">
      <w:pPr>
        <w:pStyle w:val="N-4"/>
        <w:tabs>
          <w:tab w:val="clear" w:pos="835"/>
          <w:tab w:val="left" w:pos="1080"/>
          <w:tab w:val="num" w:pos="3715"/>
          <w:tab w:val="num" w:pos="3805"/>
        </w:tabs>
        <w:spacing w:before="120"/>
        <w:ind w:left="1080" w:hanging="360"/>
      </w:pPr>
      <w:r>
        <w:t>Apply plaster with even distribution to a minimum 1/</w:t>
      </w:r>
      <w:r w:rsidR="00CB7091">
        <w:t>8</w:t>
      </w:r>
      <w:r>
        <w:t>-inch or 1/</w:t>
      </w:r>
      <w:r w:rsidR="00CB7091">
        <w:t>4</w:t>
      </w:r>
      <w:r>
        <w:t>-inch layer thickness</w:t>
      </w:r>
      <w:r w:rsidR="0009617C" w:rsidRPr="001340F0">
        <w:t>.</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1C3A3356" w:rsidR="00914055" w:rsidRPr="001340F0" w:rsidRDefault="001340F0" w:rsidP="00095238">
      <w:pPr>
        <w:pStyle w:val="N-4"/>
        <w:tabs>
          <w:tab w:val="clear" w:pos="835"/>
          <w:tab w:val="left" w:pos="1080"/>
          <w:tab w:val="num" w:pos="3715"/>
          <w:tab w:val="num" w:pos="3805"/>
        </w:tabs>
        <w:spacing w:before="120"/>
        <w:ind w:left="1080" w:hanging="360"/>
      </w:pPr>
      <w:r w:rsidRPr="001340F0">
        <w:t>Moist</w:t>
      </w:r>
      <w:r w:rsidR="00E119E5">
        <w:t xml:space="preserve"> </w:t>
      </w:r>
      <w:r w:rsidRPr="001340F0">
        <w:t>cure for</w:t>
      </w:r>
      <w:r w:rsidR="00957309">
        <w:t xml:space="preserve"> 1</w:t>
      </w:r>
      <w:r w:rsidRPr="001340F0">
        <w:t xml:space="preserve"> day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1501665F" w:rsidR="001340F0" w:rsidRPr="001340F0" w:rsidRDefault="001340F0" w:rsidP="001340F0">
      <w:pPr>
        <w:pStyle w:val="N-5"/>
        <w:tabs>
          <w:tab w:val="clear" w:pos="893"/>
          <w:tab w:val="num" w:pos="1350"/>
        </w:tabs>
        <w:spacing w:before="120"/>
        <w:ind w:left="1350" w:hanging="288"/>
      </w:pPr>
      <w:r w:rsidRPr="001340F0">
        <w:t xml:space="preserve">Repeat until </w:t>
      </w:r>
      <w:r w:rsidR="00957309">
        <w:t>24</w:t>
      </w:r>
      <w:r w:rsidRPr="001340F0">
        <w:t xml:space="preserve">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61D779E" w:rsidR="009C0CE9" w:rsidRPr="001340F0" w:rsidRDefault="00282850"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78A691DA"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w:t>
      </w:r>
      <w:r w:rsidR="00CB7091">
        <w:t xml:space="preserve"> minimum </w:t>
      </w:r>
      <w:r w:rsidR="00E119E5">
        <w:t xml:space="preserve">1/8-inch </w:t>
      </w:r>
      <w:r w:rsidRPr="001340F0">
        <w:t>layer thickness</w:t>
      </w:r>
      <w:r w:rsidR="00CB7091">
        <w:t>, or greater, depending on site-based determination or desired texture</w:t>
      </w:r>
      <w:r w:rsidRPr="001340F0">
        <w:t>.</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lastRenderedPageBreak/>
        <w:t>Provide finish as directed in Section 2.4 Finishes.</w:t>
      </w:r>
    </w:p>
    <w:p w14:paraId="7A86FF40" w14:textId="3D482765" w:rsidR="009C0CE9" w:rsidRPr="001340F0" w:rsidRDefault="00745FD0"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512B9366" w:rsidR="001340F0" w:rsidRPr="001340F0" w:rsidRDefault="001340F0" w:rsidP="001340F0">
      <w:pPr>
        <w:pStyle w:val="N-5"/>
        <w:tabs>
          <w:tab w:val="clear" w:pos="893"/>
          <w:tab w:val="num" w:pos="1350"/>
        </w:tabs>
        <w:spacing w:before="120"/>
        <w:ind w:left="1350" w:hanging="288"/>
      </w:pPr>
      <w:r w:rsidRPr="001340F0">
        <w:t>Repeat until 48 hours pass</w:t>
      </w:r>
      <w:r w:rsidR="00A413EB">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6398" w14:textId="77777777" w:rsidR="008A5F14" w:rsidRDefault="008A5F14">
      <w:r>
        <w:separator/>
      </w:r>
    </w:p>
  </w:endnote>
  <w:endnote w:type="continuationSeparator" w:id="0">
    <w:p w14:paraId="5E6F0079" w14:textId="77777777" w:rsidR="008A5F14" w:rsidRDefault="008A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7CD0EBF4"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1B070A" w:rsidRPr="001B070A">
      <w:rPr>
        <w:sz w:val="16"/>
        <w:szCs w:val="16"/>
      </w:rPr>
      <w:t>SITE-CAST TILT-UP CONCRETE</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5E7B" w14:textId="77777777" w:rsidR="008A5F14" w:rsidRDefault="008A5F14">
      <w:r>
        <w:separator/>
      </w:r>
    </w:p>
  </w:footnote>
  <w:footnote w:type="continuationSeparator" w:id="0">
    <w:p w14:paraId="47BB26F5" w14:textId="77777777" w:rsidR="008A5F14" w:rsidRDefault="008A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373889680">
    <w:abstractNumId w:val="1"/>
  </w:num>
  <w:num w:numId="2" w16cid:durableId="608395890">
    <w:abstractNumId w:val="1"/>
  </w:num>
  <w:num w:numId="3" w16cid:durableId="883717598">
    <w:abstractNumId w:val="1"/>
  </w:num>
  <w:num w:numId="4" w16cid:durableId="1718162336">
    <w:abstractNumId w:val="1"/>
  </w:num>
  <w:num w:numId="5" w16cid:durableId="433944137">
    <w:abstractNumId w:val="1"/>
  </w:num>
  <w:num w:numId="6" w16cid:durableId="978265565">
    <w:abstractNumId w:val="1"/>
  </w:num>
  <w:num w:numId="7" w16cid:durableId="1653679028">
    <w:abstractNumId w:val="1"/>
  </w:num>
  <w:num w:numId="8" w16cid:durableId="1820069029">
    <w:abstractNumId w:val="1"/>
  </w:num>
  <w:num w:numId="9" w16cid:durableId="1120956403">
    <w:abstractNumId w:val="1"/>
  </w:num>
  <w:num w:numId="10" w16cid:durableId="1895580727">
    <w:abstractNumId w:val="1"/>
  </w:num>
  <w:num w:numId="11" w16cid:durableId="1988431276">
    <w:abstractNumId w:val="1"/>
  </w:num>
  <w:num w:numId="12" w16cid:durableId="1070928472">
    <w:abstractNumId w:val="1"/>
  </w:num>
  <w:num w:numId="13" w16cid:durableId="1049763988">
    <w:abstractNumId w:val="1"/>
  </w:num>
  <w:num w:numId="14" w16cid:durableId="1702318609">
    <w:abstractNumId w:val="1"/>
  </w:num>
  <w:num w:numId="15" w16cid:durableId="1375885887">
    <w:abstractNumId w:val="1"/>
  </w:num>
  <w:num w:numId="16" w16cid:durableId="1761411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837769433">
    <w:abstractNumId w:val="1"/>
  </w:num>
  <w:num w:numId="18" w16cid:durableId="1316908563">
    <w:abstractNumId w:val="1"/>
  </w:num>
  <w:num w:numId="19" w16cid:durableId="445122437">
    <w:abstractNumId w:val="1"/>
  </w:num>
  <w:num w:numId="20" w16cid:durableId="1636909770">
    <w:abstractNumId w:val="1"/>
  </w:num>
  <w:num w:numId="21" w16cid:durableId="2077701842">
    <w:abstractNumId w:val="0"/>
    <w:lvlOverride w:ilvl="0">
      <w:startOverride w:val="1"/>
    </w:lvlOverride>
  </w:num>
  <w:num w:numId="22" w16cid:durableId="1237788760">
    <w:abstractNumId w:val="1"/>
  </w:num>
  <w:num w:numId="23" w16cid:durableId="12299210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4581"/>
    <w:rsid w:val="00005AC6"/>
    <w:rsid w:val="00007539"/>
    <w:rsid w:val="00007E4F"/>
    <w:rsid w:val="00011117"/>
    <w:rsid w:val="00011FA7"/>
    <w:rsid w:val="000124A0"/>
    <w:rsid w:val="00013050"/>
    <w:rsid w:val="00013E7C"/>
    <w:rsid w:val="0001515A"/>
    <w:rsid w:val="000173E1"/>
    <w:rsid w:val="00017BA0"/>
    <w:rsid w:val="00023C33"/>
    <w:rsid w:val="00023C71"/>
    <w:rsid w:val="000240CC"/>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2733"/>
    <w:rsid w:val="00095238"/>
    <w:rsid w:val="0009617C"/>
    <w:rsid w:val="00096832"/>
    <w:rsid w:val="00096A15"/>
    <w:rsid w:val="000A04C2"/>
    <w:rsid w:val="000A1F9E"/>
    <w:rsid w:val="000A30AD"/>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4BF"/>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77355"/>
    <w:rsid w:val="0018057C"/>
    <w:rsid w:val="00180593"/>
    <w:rsid w:val="00181E32"/>
    <w:rsid w:val="001878EE"/>
    <w:rsid w:val="0019046D"/>
    <w:rsid w:val="00193672"/>
    <w:rsid w:val="00195001"/>
    <w:rsid w:val="001A6289"/>
    <w:rsid w:val="001B070A"/>
    <w:rsid w:val="001B40F8"/>
    <w:rsid w:val="001B4BFD"/>
    <w:rsid w:val="001B7BDE"/>
    <w:rsid w:val="001C1E3D"/>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850"/>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B763E"/>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5F23"/>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6D2"/>
    <w:rsid w:val="003E47A9"/>
    <w:rsid w:val="003E7622"/>
    <w:rsid w:val="003F2485"/>
    <w:rsid w:val="003F34EA"/>
    <w:rsid w:val="00404F0F"/>
    <w:rsid w:val="004109EF"/>
    <w:rsid w:val="004118A8"/>
    <w:rsid w:val="00411A98"/>
    <w:rsid w:val="00414010"/>
    <w:rsid w:val="004153BB"/>
    <w:rsid w:val="004154D9"/>
    <w:rsid w:val="00416C9D"/>
    <w:rsid w:val="0042069F"/>
    <w:rsid w:val="00424D60"/>
    <w:rsid w:val="0042509F"/>
    <w:rsid w:val="004256AB"/>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408D"/>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55AE"/>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BF0"/>
    <w:rsid w:val="00695473"/>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E60AF"/>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45FD0"/>
    <w:rsid w:val="00750DC5"/>
    <w:rsid w:val="007514FE"/>
    <w:rsid w:val="00756567"/>
    <w:rsid w:val="007569DD"/>
    <w:rsid w:val="00761DBF"/>
    <w:rsid w:val="00762334"/>
    <w:rsid w:val="00764EBB"/>
    <w:rsid w:val="007657FD"/>
    <w:rsid w:val="00766275"/>
    <w:rsid w:val="007670D4"/>
    <w:rsid w:val="00777AF5"/>
    <w:rsid w:val="00782C50"/>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17A9"/>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0465"/>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5F14"/>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57309"/>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43A"/>
    <w:rsid w:val="00995AEB"/>
    <w:rsid w:val="00997715"/>
    <w:rsid w:val="00997DF4"/>
    <w:rsid w:val="009A122F"/>
    <w:rsid w:val="009A2E71"/>
    <w:rsid w:val="009A2F88"/>
    <w:rsid w:val="009A36B5"/>
    <w:rsid w:val="009A473A"/>
    <w:rsid w:val="009A4A0E"/>
    <w:rsid w:val="009A6FF1"/>
    <w:rsid w:val="009B076B"/>
    <w:rsid w:val="009B0C27"/>
    <w:rsid w:val="009B1E24"/>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4A36"/>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3EB"/>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A6673"/>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1188"/>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CB"/>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2002"/>
    <w:rsid w:val="00CA4609"/>
    <w:rsid w:val="00CA5C99"/>
    <w:rsid w:val="00CA62BF"/>
    <w:rsid w:val="00CB01B3"/>
    <w:rsid w:val="00CB1374"/>
    <w:rsid w:val="00CB2D1F"/>
    <w:rsid w:val="00CB4F41"/>
    <w:rsid w:val="00CB5594"/>
    <w:rsid w:val="00CB7091"/>
    <w:rsid w:val="00CB7840"/>
    <w:rsid w:val="00CC09A6"/>
    <w:rsid w:val="00CC1A19"/>
    <w:rsid w:val="00CC3846"/>
    <w:rsid w:val="00CC3BAD"/>
    <w:rsid w:val="00CC41FD"/>
    <w:rsid w:val="00CC6CA7"/>
    <w:rsid w:val="00CD072A"/>
    <w:rsid w:val="00CD2162"/>
    <w:rsid w:val="00CD22E5"/>
    <w:rsid w:val="00CD4428"/>
    <w:rsid w:val="00CE0598"/>
    <w:rsid w:val="00CE34F7"/>
    <w:rsid w:val="00CE4818"/>
    <w:rsid w:val="00CE4D74"/>
    <w:rsid w:val="00CE69CC"/>
    <w:rsid w:val="00CE6AF1"/>
    <w:rsid w:val="00CF3741"/>
    <w:rsid w:val="00CF38B4"/>
    <w:rsid w:val="00CF48CB"/>
    <w:rsid w:val="00CF5305"/>
    <w:rsid w:val="00CF62AE"/>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19E5"/>
    <w:rsid w:val="00E12901"/>
    <w:rsid w:val="00E1493D"/>
    <w:rsid w:val="00E15FAB"/>
    <w:rsid w:val="00E214EE"/>
    <w:rsid w:val="00E21A52"/>
    <w:rsid w:val="00E2414D"/>
    <w:rsid w:val="00E2536E"/>
    <w:rsid w:val="00E30687"/>
    <w:rsid w:val="00E30A69"/>
    <w:rsid w:val="00E30D7C"/>
    <w:rsid w:val="00E32BF7"/>
    <w:rsid w:val="00E3552F"/>
    <w:rsid w:val="00E40A2E"/>
    <w:rsid w:val="00E41624"/>
    <w:rsid w:val="00E41A26"/>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A2182"/>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0F"/>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970">
      <w:bodyDiv w:val="1"/>
      <w:marLeft w:val="0"/>
      <w:marRight w:val="0"/>
      <w:marTop w:val="0"/>
      <w:marBottom w:val="0"/>
      <w:divBdr>
        <w:top w:val="none" w:sz="0" w:space="0" w:color="auto"/>
        <w:left w:val="none" w:sz="0" w:space="0" w:color="auto"/>
        <w:bottom w:val="none" w:sz="0" w:space="0" w:color="auto"/>
        <w:right w:val="none" w:sz="0" w:space="0" w:color="auto"/>
      </w:divBdr>
    </w:div>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758864478">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801C-441E-BD4D-922D-E8CE2CA6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14308</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7</cp:revision>
  <cp:lastPrinted>2009-11-16T23:40:00Z</cp:lastPrinted>
  <dcterms:created xsi:type="dcterms:W3CDTF">2023-11-10T01:28:00Z</dcterms:created>
  <dcterms:modified xsi:type="dcterms:W3CDTF">2023-12-14T13:23:00Z</dcterms:modified>
</cp:coreProperties>
</file>